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95" w:rsidRDefault="00584CE6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43C42">
        <w:rPr>
          <w:noProof/>
        </w:rPr>
        <w:drawing>
          <wp:inline distT="0" distB="0" distL="0" distR="0" wp14:anchorId="563356D8" wp14:editId="0A978A64">
            <wp:extent cx="3000375" cy="647700"/>
            <wp:effectExtent l="0" t="0" r="9525" b="0"/>
            <wp:docPr id="1" name="Picture 1" descr="M:\AdrforumWebsiteDocs_2022\FORUM-Logo_wTagline-F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drforumWebsiteDocs_2022\FORUM-Logo_wTagline-FC-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</w:t>
      </w:r>
      <w:r>
        <w:rPr>
          <w:rFonts w:ascii="TimesNewRomanPS-BoldMT" w:hAnsi="TimesNewRomanPS-BoldMT" w:cs="TimesNewRomanPS-BoldMT"/>
          <w:b/>
          <w:bCs/>
        </w:rPr>
        <w:t xml:space="preserve">EMORANDUM OF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U</w:t>
      </w:r>
      <w:r>
        <w:rPr>
          <w:rFonts w:ascii="TimesNewRomanPS-BoldMT" w:hAnsi="TimesNewRomanPS-BoldMT" w:cs="TimesNewRomanPS-BoldMT"/>
          <w:b/>
          <w:bCs/>
        </w:rPr>
        <w:t>NDERSTANDING</w:t>
      </w: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 and between</w:t>
      </w:r>
    </w:p>
    <w:p w:rsidR="0033590F" w:rsidRPr="009D1570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D157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The </w:t>
      </w:r>
      <w:r w:rsidR="0065068A" w:rsidRPr="0065068A">
        <w:rPr>
          <w:rFonts w:ascii="TimesNewRomanPS-BoldMT" w:hAnsi="TimesNewRomanPS-BoldMT" w:cs="TimesNewRomanPS-BoldMT"/>
          <w:b/>
          <w:bCs/>
          <w:smallCaps/>
          <w:sz w:val="24"/>
          <w:szCs w:val="24"/>
        </w:rPr>
        <w:t>Forum</w:t>
      </w:r>
      <w:r w:rsidRPr="009D157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DB0416" w:rsidRPr="009D1570" w:rsidRDefault="00AE534C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a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>nd</w:t>
      </w:r>
    </w:p>
    <w:p w:rsidR="00E43A7C" w:rsidRDefault="00AE534C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__________________________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 xml:space="preserve"> (“Registry</w:t>
      </w:r>
      <w:r w:rsidR="004A2900">
        <w:rPr>
          <w:rFonts w:ascii="TimesNewRomanPSMT" w:hAnsi="TimesNewRomanPSMT" w:cs="TimesNewRomanPSMT"/>
          <w:b/>
          <w:sz w:val="24"/>
          <w:szCs w:val="24"/>
        </w:rPr>
        <w:t xml:space="preserve"> Operator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>”)</w:t>
      </w:r>
    </w:p>
    <w:p w:rsidR="00E43A7C" w:rsidRDefault="00E43A7C" w:rsidP="007A6E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</w:t>
      </w:r>
      <w:r w:rsidRPr="00915BA2">
        <w:rPr>
          <w:rFonts w:ascii="TimesNewRomanPS-BoldMT" w:hAnsi="TimesNewRomanPS-BoldMT" w:cs="TimesNewRomanPS-BoldMT"/>
          <w:b/>
          <w:bCs/>
          <w:sz w:val="16"/>
          <w:szCs w:val="16"/>
        </w:rPr>
        <w:t>Registry Name</w:t>
      </w:r>
    </w:p>
    <w:p w:rsidR="009D1570" w:rsidRPr="009D1570" w:rsidRDefault="009D1570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Whereas:</w:t>
      </w:r>
    </w:p>
    <w:p w:rsidR="0033590F" w:rsidRPr="0033590F" w:rsidRDefault="00F00809" w:rsidP="003359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has developed a </w:t>
      </w:r>
      <w:r w:rsidR="002500A2">
        <w:rPr>
          <w:rFonts w:ascii="TimesNewRomanPSMT" w:hAnsi="TimesNewRomanPSMT" w:cs="TimesNewRomanPSMT"/>
          <w:sz w:val="24"/>
          <w:szCs w:val="24"/>
        </w:rPr>
        <w:t>model registration eligibility</w:t>
      </w:r>
      <w:r>
        <w:rPr>
          <w:rFonts w:ascii="TimesNewRomanPSMT" w:hAnsi="TimesNewRomanPSMT" w:cs="TimesNewRomanPSMT"/>
          <w:sz w:val="24"/>
          <w:szCs w:val="24"/>
        </w:rPr>
        <w:t xml:space="preserve"> dispute resolution policy (“</w:t>
      </w:r>
      <w:r w:rsidR="002500A2">
        <w:rPr>
          <w:rFonts w:ascii="TimesNewRomanPSMT" w:hAnsi="TimesNewRomanPSMT" w:cs="TimesNewRomanPSMT"/>
          <w:sz w:val="24"/>
          <w:szCs w:val="24"/>
        </w:rPr>
        <w:t>RE</w:t>
      </w:r>
      <w:r>
        <w:rPr>
          <w:rFonts w:ascii="TimesNewRomanPSMT" w:hAnsi="TimesNewRomanPSMT" w:cs="TimesNewRomanPSMT"/>
          <w:sz w:val="24"/>
          <w:szCs w:val="24"/>
        </w:rPr>
        <w:t xml:space="preserve">DRP”) for 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>new top-level domains</w:t>
      </w:r>
      <w:r w:rsid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>(“TLDs”) in the domain name system;</w:t>
      </w:r>
    </w:p>
    <w:p w:rsidR="00166AE0" w:rsidRPr="00166AE0" w:rsidRDefault="004A2900" w:rsidP="00166A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Each new TLD registry in the Internet Corporation for Assigned Names and Numbers’ (“ICANN”)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New gTLD Program </w:t>
      </w:r>
      <w:r w:rsidR="002500A2">
        <w:rPr>
          <w:rFonts w:ascii="TimesNewRomanPSMT" w:hAnsi="TimesNewRomanPSMT" w:cs="TimesNewRomanPSMT"/>
          <w:sz w:val="24"/>
          <w:szCs w:val="24"/>
        </w:rPr>
        <w:t>may optionally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500A2">
        <w:rPr>
          <w:rFonts w:ascii="TimesNewRomanPSMT" w:hAnsi="TimesNewRomanPSMT" w:cs="TimesNewRomanPSMT"/>
          <w:sz w:val="24"/>
          <w:szCs w:val="24"/>
        </w:rPr>
        <w:t>impose registration requirements or restrictions on registration of domain names in new TLDs and may optionally provide a dispute resolution policy for policing those requirements or restrictions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>;</w:t>
      </w:r>
      <w:r w:rsidR="002500A2"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33590F" w:rsidRDefault="008905EB" w:rsidP="003359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Registry Operat</w:t>
      </w:r>
      <w:r w:rsidR="00166AE0">
        <w:rPr>
          <w:rFonts w:ascii="TimesNewRomanPSMT" w:hAnsi="TimesNewRomanPSMT" w:cs="TimesNewRomanPSMT"/>
          <w:sz w:val="24"/>
          <w:szCs w:val="24"/>
        </w:rPr>
        <w:t>or</w:t>
      </w:r>
      <w:r>
        <w:rPr>
          <w:rFonts w:ascii="TimesNewRomanPSMT" w:hAnsi="TimesNewRomanPSMT" w:cs="TimesNewRomanPSMT"/>
          <w:sz w:val="24"/>
          <w:szCs w:val="24"/>
        </w:rPr>
        <w:t xml:space="preserve"> desires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to provide </w:t>
      </w:r>
      <w:r w:rsidR="002500A2">
        <w:rPr>
          <w:rFonts w:ascii="TimesNewRomanPSMT" w:hAnsi="TimesNewRomanPSMT" w:cs="TimesNewRomanPSMT"/>
          <w:sz w:val="24"/>
          <w:szCs w:val="24"/>
        </w:rPr>
        <w:t>services to resolve disputes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services</w:t>
      </w:r>
      <w:r w:rsidR="00166AE0">
        <w:rPr>
          <w:rFonts w:ascii="TimesNewRomanPSMT" w:hAnsi="TimesNewRomanPSMT" w:cs="TimesNewRomanPSMT"/>
          <w:sz w:val="24"/>
          <w:szCs w:val="24"/>
        </w:rPr>
        <w:t xml:space="preserve"> </w:t>
      </w:r>
      <w:r w:rsidR="002500A2">
        <w:rPr>
          <w:rFonts w:ascii="TimesNewRomanPSMT" w:hAnsi="TimesNewRomanPSMT" w:cs="TimesNewRomanPSMT"/>
          <w:sz w:val="24"/>
          <w:szCs w:val="24"/>
        </w:rPr>
        <w:t xml:space="preserve">related to the registration requirements or restrictions </w:t>
      </w:r>
      <w:r w:rsidR="00166AE0">
        <w:rPr>
          <w:rFonts w:ascii="TimesNewRomanPSMT" w:hAnsi="TimesNewRomanPSMT" w:cs="TimesNewRomanPSMT"/>
          <w:sz w:val="24"/>
          <w:szCs w:val="24"/>
        </w:rPr>
        <w:t>for the ___________</w:t>
      </w:r>
      <w:r w:rsidR="006708FF">
        <w:rPr>
          <w:rFonts w:ascii="TimesNewRomanPSMT" w:hAnsi="TimesNewRomanPSMT" w:cs="TimesNewRomanPSMT"/>
          <w:sz w:val="24"/>
          <w:szCs w:val="24"/>
        </w:rPr>
        <w:t>_____________</w:t>
      </w:r>
      <w:r w:rsidR="00166AE0">
        <w:rPr>
          <w:rFonts w:ascii="TimesNewRomanPSMT" w:hAnsi="TimesNewRomanPSMT" w:cs="TimesNewRomanPSMT"/>
          <w:sz w:val="24"/>
          <w:szCs w:val="24"/>
        </w:rPr>
        <w:t xml:space="preserve"> top level domain</w:t>
      </w:r>
      <w:r w:rsidR="00320532">
        <w:rPr>
          <w:rFonts w:ascii="TimesNewRomanPSMT" w:hAnsi="TimesNewRomanPSMT" w:cs="TimesNewRomanPSMT"/>
          <w:sz w:val="24"/>
          <w:szCs w:val="24"/>
        </w:rPr>
        <w:t xml:space="preserve"> (“TLD”)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>.</w:t>
      </w:r>
    </w:p>
    <w:p w:rsidR="0033590F" w:rsidRPr="0033590F" w:rsidRDefault="0033590F" w:rsidP="003359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74FA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Now therefore, </w:t>
      </w:r>
      <w:r w:rsidR="00591C85">
        <w:rPr>
          <w:rFonts w:ascii="TimesNewRomanPSMT" w:hAnsi="TimesNewRomanPSMT" w:cs="TimesNewRomanPSMT"/>
          <w:sz w:val="24"/>
          <w:szCs w:val="24"/>
        </w:rPr>
        <w:t xml:space="preserve">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591C85">
        <w:rPr>
          <w:rFonts w:ascii="TimesNewRomanPSMT" w:hAnsi="TimesNewRomanPSMT" w:cs="TimesNewRomanPSMT"/>
          <w:sz w:val="24"/>
          <w:szCs w:val="24"/>
        </w:rPr>
        <w:t xml:space="preserve"> and Registry Operator</w:t>
      </w:r>
      <w:r>
        <w:rPr>
          <w:rFonts w:ascii="TimesNewRomanPSMT" w:hAnsi="TimesNewRomanPSMT" w:cs="TimesNewRomanPSMT"/>
          <w:sz w:val="24"/>
          <w:szCs w:val="24"/>
        </w:rPr>
        <w:t xml:space="preserve"> agree as follows:</w:t>
      </w:r>
    </w:p>
    <w:p w:rsidR="009D74FA" w:rsidRDefault="009D74FA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591C85" w:rsidP="003359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Registry Operator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hereby designates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as, and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agrees to act as, a provider of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services.</w:t>
      </w:r>
    </w:p>
    <w:p w:rsidR="009D74FA" w:rsidRPr="0033590F" w:rsidRDefault="009D74FA" w:rsidP="009D74F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Pr="0033590F" w:rsidRDefault="0033590F" w:rsidP="003359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connection with the provision of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services,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>shall:</w:t>
      </w:r>
    </w:p>
    <w:p w:rsidR="0033590F" w:rsidRPr="0033590F" w:rsidRDefault="00161C42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provide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uniform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services in accordance with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>
        <w:rPr>
          <w:rFonts w:ascii="TimesNewRomanPSMT" w:hAnsi="TimesNewRomanPSMT" w:cs="TimesNewRomanPSMT"/>
          <w:sz w:val="24"/>
          <w:szCs w:val="24"/>
        </w:rPr>
        <w:t xml:space="preserve"> and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>
        <w:rPr>
          <w:rFonts w:ascii="TimesNewRomanPSMT" w:hAnsi="TimesNewRomanPSMT" w:cs="TimesNewRomanPSMT"/>
          <w:sz w:val="24"/>
          <w:szCs w:val="24"/>
        </w:rPr>
        <w:t xml:space="preserve"> Rules (“Rules”),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found </w:t>
      </w:r>
      <w:r>
        <w:rPr>
          <w:rFonts w:ascii="TimesNewRomanPSMT" w:hAnsi="TimesNewRomanPSMT" w:cs="TimesNewRomanPSMT"/>
          <w:sz w:val="24"/>
          <w:szCs w:val="24"/>
        </w:rPr>
        <w:t>at http://domains.adrforum.com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, as may be amended from time to time, to </w:t>
      </w:r>
      <w:r>
        <w:rPr>
          <w:rFonts w:ascii="TimesNewRomanPSMT" w:hAnsi="TimesNewRomanPSMT" w:cs="TimesNewRomanPSMT"/>
          <w:sz w:val="24"/>
          <w:szCs w:val="24"/>
        </w:rPr>
        <w:t>provide uniformity of the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proceedings;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develop and maintain procedures necessary to facilitate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; provided that such procedures </w:t>
      </w:r>
      <w:r w:rsidR="00161C42">
        <w:rPr>
          <w:rFonts w:ascii="TimesNewRomanPSMT" w:hAnsi="TimesNewRomanPSMT" w:cs="TimesNewRomanPSMT"/>
          <w:sz w:val="24"/>
          <w:szCs w:val="24"/>
        </w:rPr>
        <w:t>do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not contravene or be inconsistent with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or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Rules;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select each </w:t>
      </w:r>
      <w:r w:rsidR="00161C42">
        <w:rPr>
          <w:rFonts w:ascii="TimesNewRomanPSMT" w:hAnsi="TimesNewRomanPSMT" w:cs="TimesNewRomanPSMT"/>
          <w:sz w:val="24"/>
          <w:szCs w:val="24"/>
        </w:rPr>
        <w:t>Panelist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and ensure that each member of a Panel is properly qualified, including by ensuring that each such person has an understanding of global intellectual property </w:t>
      </w:r>
      <w:r w:rsidR="00161C42">
        <w:rPr>
          <w:rFonts w:ascii="TimesNewRomanPSMT" w:hAnsi="TimesNewRomanPSMT" w:cs="TimesNewRomanPSMT"/>
          <w:sz w:val="24"/>
          <w:szCs w:val="24"/>
        </w:rPr>
        <w:t xml:space="preserve">and domain name </w:t>
      </w:r>
      <w:r w:rsidRPr="0033590F">
        <w:rPr>
          <w:rFonts w:ascii="TimesNewRomanPSMT" w:hAnsi="TimesNewRomanPSMT" w:cs="TimesNewRomanPSMT"/>
          <w:sz w:val="24"/>
          <w:szCs w:val="24"/>
        </w:rPr>
        <w:t>issues as they relate to the Internet;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ensure that all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De</w:t>
      </w:r>
      <w:r w:rsidR="00835A59">
        <w:rPr>
          <w:rFonts w:ascii="TimesNewRomanPSMT" w:hAnsi="TimesNewRomanPSMT" w:cs="TimesNewRomanPSMT"/>
          <w:sz w:val="24"/>
          <w:szCs w:val="24"/>
        </w:rPr>
        <w:t>cisions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are publicly posted and searchable;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establish and maintain a conflicts of interest policy and procedure designed to identify and prevent conflicts of interest among </w:t>
      </w:r>
      <w:r w:rsidR="00161C42">
        <w:rPr>
          <w:rFonts w:ascii="TimesNewRomanPSMT" w:hAnsi="TimesNewRomanPSMT" w:cs="TimesNewRomanPSMT"/>
          <w:sz w:val="24"/>
          <w:szCs w:val="24"/>
        </w:rPr>
        <w:t xml:space="preserve">Panelists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and complainants and respondents in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proceedings;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establish and maintain procedures and processes for efficient communications with parties to a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proceeding and relevant registries and registrars;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lastRenderedPageBreak/>
        <w:t xml:space="preserve">provide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 on a reasonable and cost effective basis; and</w:t>
      </w:r>
    </w:p>
    <w:p w:rsid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provide </w:t>
      </w:r>
      <w:r w:rsidR="00E24A5F">
        <w:rPr>
          <w:rFonts w:ascii="TimesNewRomanPSMT" w:hAnsi="TimesNewRomanPSMT" w:cs="TimesNewRomanPSMT"/>
          <w:sz w:val="24"/>
          <w:szCs w:val="24"/>
        </w:rPr>
        <w:t>Registry Operator with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E24A5F">
        <w:rPr>
          <w:rFonts w:ascii="TimesNewRomanPSMT" w:hAnsi="TimesNewRomanPSMT" w:cs="TimesNewRomanPSMT"/>
          <w:sz w:val="24"/>
          <w:szCs w:val="24"/>
        </w:rPr>
        <w:t xml:space="preserve"> statistics related to the TLD at issue upon a reasonable request</w:t>
      </w:r>
      <w:r w:rsidRPr="0033590F">
        <w:rPr>
          <w:rFonts w:ascii="TimesNewRomanPSMT" w:hAnsi="TimesNewRomanPSMT" w:cs="TimesNewRomanPSMT"/>
          <w:sz w:val="24"/>
          <w:szCs w:val="24"/>
        </w:rPr>
        <w:t>.</w:t>
      </w:r>
    </w:p>
    <w:p w:rsidR="009D74FA" w:rsidRDefault="009D74FA" w:rsidP="009D74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</w:p>
    <w:p w:rsidR="009D74FA" w:rsidRDefault="009D74FA" w:rsidP="009D7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D74FA">
        <w:rPr>
          <w:rFonts w:ascii="TimesNewRomanPSMT" w:hAnsi="TimesNewRomanPSMT" w:cs="TimesNewRomanPSMT"/>
          <w:sz w:val="24"/>
          <w:szCs w:val="24"/>
        </w:rPr>
        <w:t xml:space="preserve">In connection with the </w:t>
      </w:r>
      <w:r w:rsidR="00DF2BAD">
        <w:rPr>
          <w:rFonts w:ascii="TimesNewRomanPSMT" w:hAnsi="TimesNewRomanPSMT" w:cs="TimesNewRomanPSMT"/>
          <w:sz w:val="24"/>
          <w:szCs w:val="24"/>
        </w:rPr>
        <w:t>receipt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of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services, </w:t>
      </w:r>
      <w:r w:rsidR="00DF2BAD">
        <w:rPr>
          <w:rFonts w:ascii="TimesNewRomanPSMT" w:hAnsi="TimesNewRomanPSMT" w:cs="TimesNewRomanPSMT"/>
          <w:sz w:val="24"/>
          <w:szCs w:val="24"/>
        </w:rPr>
        <w:t>Registry Operator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shall:</w:t>
      </w:r>
    </w:p>
    <w:p w:rsidR="009D74FA" w:rsidRPr="00DF2BAD" w:rsidRDefault="00DF2BAD" w:rsidP="00DF2B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 w:rsidRPr="00DF2BAD">
        <w:rPr>
          <w:rFonts w:ascii="TimesNewRomanPSMT" w:hAnsi="TimesNewRomanPSMT" w:cs="TimesNewRomanPSMT"/>
          <w:sz w:val="24"/>
          <w:szCs w:val="24"/>
        </w:rPr>
        <w:t>timely c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omply with all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-related requests made by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DF2BAD">
        <w:rPr>
          <w:rFonts w:ascii="TimesNewRomanPSMT" w:hAnsi="TimesNewRomanPSMT" w:cs="TimesNewRomanPSMT"/>
          <w:sz w:val="24"/>
          <w:szCs w:val="24"/>
        </w:rPr>
        <w:t xml:space="preserve"> 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as required under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 and Rules, including requests for the verification or locking of a domain name</w:t>
      </w:r>
      <w:r w:rsidRPr="00DF2BAD">
        <w:rPr>
          <w:rFonts w:ascii="TimesNewRomanPSMT" w:hAnsi="TimesNewRomanPSMT" w:cs="TimesNewRomanPSMT"/>
          <w:sz w:val="24"/>
          <w:szCs w:val="24"/>
        </w:rPr>
        <w:t>;</w:t>
      </w:r>
    </w:p>
    <w:p w:rsidR="00DF2BAD" w:rsidRDefault="00DF2BAD" w:rsidP="00DF2BAD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DF2BAD">
        <w:rPr>
          <w:rFonts w:ascii="TimesNewRomanPSMT" w:hAnsi="TimesNewRomanPSMT" w:cs="TimesNewRomanPSMT"/>
          <w:sz w:val="24"/>
          <w:szCs w:val="24"/>
        </w:rPr>
        <w:t>timely comply with Pane</w:t>
      </w:r>
      <w:r>
        <w:rPr>
          <w:rFonts w:ascii="TimesNewRomanPSMT" w:hAnsi="TimesNewRomanPSMT" w:cs="TimesNewRomanPSMT"/>
          <w:sz w:val="24"/>
          <w:szCs w:val="24"/>
        </w:rPr>
        <w:t xml:space="preserve">l Decisions made under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>
        <w:rPr>
          <w:rFonts w:ascii="TimesNewRomanPSMT" w:hAnsi="TimesNewRomanPSMT" w:cs="TimesNewRomanPSMT"/>
          <w:sz w:val="24"/>
          <w:szCs w:val="24"/>
        </w:rPr>
        <w:t>;</w:t>
      </w:r>
      <w:r w:rsidR="00677AFB"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DF2BAD" w:rsidRPr="00DF2BAD" w:rsidRDefault="00DF2BAD" w:rsidP="00DF2BAD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refrain from interfering or attempting to interfere with </w:t>
      </w:r>
      <w:r w:rsidR="00677AFB">
        <w:rPr>
          <w:rFonts w:ascii="TimesNewRomanPSMT" w:hAnsi="TimesNewRomanPSMT" w:cs="TimesNewRomanPSMT"/>
          <w:sz w:val="24"/>
          <w:szCs w:val="24"/>
        </w:rPr>
        <w:t>the Panel’s decision-making.</w:t>
      </w:r>
    </w:p>
    <w:p w:rsidR="009D74FA" w:rsidRPr="009D74FA" w:rsidRDefault="009D74FA" w:rsidP="009D7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E534C" w:rsidRDefault="00AE534C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>
        <w:rPr>
          <w:rFonts w:ascii="TimesNewRomanPSMT" w:hAnsi="TimesNewRomanPSMT" w:cs="TimesNewRomanPSMT"/>
          <w:sz w:val="24"/>
          <w:szCs w:val="24"/>
        </w:rPr>
        <w:t xml:space="preserve"> will serve as a neutral dispute resolution administrator with respect to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>
        <w:rPr>
          <w:rFonts w:ascii="TimesNewRomanPSMT" w:hAnsi="TimesNewRomanPSMT" w:cs="TimesNewRomanPSMT"/>
          <w:sz w:val="24"/>
          <w:szCs w:val="24"/>
        </w:rPr>
        <w:t xml:space="preserve">-related disputes filed under this Memorandum of Understanding and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>
        <w:rPr>
          <w:rFonts w:ascii="TimesNewRomanPSMT" w:hAnsi="TimesNewRomanPSMT" w:cs="TimesNewRomanPSMT"/>
          <w:sz w:val="24"/>
          <w:szCs w:val="24"/>
        </w:rPr>
        <w:t xml:space="preserve">-appointed Panelists will serve as neutral decision makers.  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This Memorandum of Understanding does not alter the fundamental neutrality of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 or its appointed Panelists with respect to the parties to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-related proceedings filed with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705DDB">
        <w:rPr>
          <w:rFonts w:ascii="TimesNewRomanPSMT" w:hAnsi="TimesNewRomanPSMT" w:cs="TimesNewRomanPSMT"/>
          <w:sz w:val="24"/>
          <w:szCs w:val="24"/>
        </w:rPr>
        <w:t>.</w:t>
      </w:r>
    </w:p>
    <w:p w:rsidR="00AE534C" w:rsidRDefault="00AE534C" w:rsidP="007A6EB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33590F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the event that, in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’s view,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fails to comply with the terms of this Memorandum of Understanding,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or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Rules,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may terminate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’s status as a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 provider with 30 days written notice;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may terminate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’s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status as a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 provider for any other reason with 60 days written notice.</w:t>
      </w:r>
    </w:p>
    <w:p w:rsidR="00677AFB" w:rsidRPr="0033590F" w:rsidRDefault="00677AFB" w:rsidP="00677AF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Pr="0033590F" w:rsidRDefault="0033590F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the event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that, in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>
        <w:rPr>
          <w:rFonts w:ascii="TimesNewRomanPSMT" w:hAnsi="TimesNewRomanPSMT" w:cs="TimesNewRomanPSMT"/>
          <w:sz w:val="24"/>
          <w:szCs w:val="24"/>
        </w:rPr>
        <w:t xml:space="preserve">’s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view, Registry Operator </w:t>
      </w:r>
      <w:r w:rsidR="00DF2BAD">
        <w:rPr>
          <w:rFonts w:ascii="TimesNewRomanPSMT" w:hAnsi="TimesNewRomanPSMT" w:cs="TimesNewRomanPSMT"/>
          <w:sz w:val="24"/>
          <w:szCs w:val="24"/>
        </w:rPr>
        <w:t xml:space="preserve">repeatedly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fails to comply with requests made under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, or </w:t>
      </w:r>
      <w:r w:rsidR="00DF2BAD">
        <w:rPr>
          <w:rFonts w:ascii="TimesNewRomanPSMT" w:hAnsi="TimesNewRomanPSMT" w:cs="TimesNewRomanPSMT"/>
          <w:sz w:val="24"/>
          <w:szCs w:val="24"/>
        </w:rPr>
        <w:t xml:space="preserve">repeatedly </w:t>
      </w:r>
      <w:r w:rsidR="009D74FA">
        <w:rPr>
          <w:rFonts w:ascii="TimesNewRomanPSMT" w:hAnsi="TimesNewRomanPSMT" w:cs="TimesNewRomanPSMT"/>
          <w:sz w:val="24"/>
          <w:szCs w:val="24"/>
        </w:rPr>
        <w:t>fails to comp</w:t>
      </w:r>
      <w:r w:rsidR="00DF2BAD">
        <w:rPr>
          <w:rFonts w:ascii="TimesNewRomanPSMT" w:hAnsi="TimesNewRomanPSMT" w:cs="TimesNewRomanPSMT"/>
          <w:sz w:val="24"/>
          <w:szCs w:val="24"/>
        </w:rPr>
        <w:t>l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y with the remedies ordered by a Panel under the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,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>
        <w:rPr>
          <w:rFonts w:ascii="TimesNewRomanPSMT" w:hAnsi="TimesNewRomanPSMT" w:cs="TimesNewRomanPSMT"/>
          <w:sz w:val="24"/>
          <w:szCs w:val="24"/>
        </w:rPr>
        <w:t xml:space="preserve">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may terminate this MoU by providing Registry Operator with 30 days written notice; if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chooses to no longer provide </w:t>
      </w:r>
      <w:r w:rsidR="002500A2">
        <w:rPr>
          <w:rFonts w:ascii="TimesNewRomanPSMT" w:hAnsi="TimesNewRomanPSMT" w:cs="TimesNewRomanPSMT"/>
          <w:sz w:val="24"/>
          <w:szCs w:val="24"/>
        </w:rPr>
        <w:t>REDRP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 for any other reason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, the </w:t>
      </w:r>
      <w:r w:rsidR="0065068A" w:rsidRPr="0065068A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may terminate this MoU by providing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with 180 days written notice.</w:t>
      </w: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590F" w:rsidTr="0033590F">
        <w:tc>
          <w:tcPr>
            <w:tcW w:w="4788" w:type="dxa"/>
          </w:tcPr>
          <w:p w:rsidR="00AE534C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33590F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</w:t>
            </w:r>
          </w:p>
          <w:p w:rsidR="0033590F" w:rsidRPr="007A6EBD" w:rsidRDefault="00AE534C" w:rsidP="003359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7A6EB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Registry Name</w:t>
            </w:r>
          </w:p>
          <w:p w:rsidR="00AE534C" w:rsidRPr="007A6EBD" w:rsidRDefault="00AE534C" w:rsidP="003359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_________________________________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Name: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Title: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Date: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788" w:type="dxa"/>
          </w:tcPr>
          <w:p w:rsidR="0065068A" w:rsidRDefault="0065068A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mallCaps/>
                <w:sz w:val="24"/>
                <w:szCs w:val="24"/>
              </w:rPr>
            </w:pPr>
          </w:p>
          <w:p w:rsidR="0033590F" w:rsidRDefault="0065068A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65068A">
              <w:rPr>
                <w:rFonts w:ascii="TimesNewRomanPS-BoldMT" w:hAnsi="TimesNewRomanPS-BoldMT" w:cs="TimesNewRomanPS-BoldMT"/>
                <w:b/>
                <w:bCs/>
                <w:smallCaps/>
                <w:sz w:val="24"/>
                <w:szCs w:val="24"/>
              </w:rPr>
              <w:t>Forum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AE534C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65068A" w:rsidRDefault="0065068A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________________________________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Name: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Title:</w:t>
            </w:r>
          </w:p>
          <w:p w:rsidR="0033590F" w:rsidRDefault="0033590F" w:rsidP="0033590F">
            <w:r>
              <w:rPr>
                <w:rFonts w:ascii="TimesNewRomanPSMT" w:hAnsi="TimesNewRomanPSMT" w:cs="TimesNewRomanPSMT"/>
                <w:sz w:val="24"/>
                <w:szCs w:val="24"/>
              </w:rPr>
              <w:t>Date: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sectPr w:rsidR="00335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110"/>
    <w:multiLevelType w:val="hybridMultilevel"/>
    <w:tmpl w:val="3B580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389"/>
    <w:multiLevelType w:val="hybridMultilevel"/>
    <w:tmpl w:val="3B64E7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D1A55"/>
    <w:multiLevelType w:val="hybridMultilevel"/>
    <w:tmpl w:val="AFBC6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197C"/>
    <w:multiLevelType w:val="hybridMultilevel"/>
    <w:tmpl w:val="6678A86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4719"/>
    <w:multiLevelType w:val="hybridMultilevel"/>
    <w:tmpl w:val="85AC9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103B"/>
    <w:multiLevelType w:val="hybridMultilevel"/>
    <w:tmpl w:val="9EF0E948"/>
    <w:lvl w:ilvl="0" w:tplc="F1F2772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960C2"/>
    <w:multiLevelType w:val="hybridMultilevel"/>
    <w:tmpl w:val="355ED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47998"/>
    <w:multiLevelType w:val="hybridMultilevel"/>
    <w:tmpl w:val="89E0BC90"/>
    <w:lvl w:ilvl="0" w:tplc="4AB8E8E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B47AA4"/>
    <w:multiLevelType w:val="hybridMultilevel"/>
    <w:tmpl w:val="5686BE58"/>
    <w:lvl w:ilvl="0" w:tplc="401A7D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B552F"/>
    <w:multiLevelType w:val="hybridMultilevel"/>
    <w:tmpl w:val="82EE5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0F"/>
    <w:rsid w:val="000E7212"/>
    <w:rsid w:val="00161C42"/>
    <w:rsid w:val="00166AE0"/>
    <w:rsid w:val="002500A2"/>
    <w:rsid w:val="00320532"/>
    <w:rsid w:val="0033590F"/>
    <w:rsid w:val="004A2900"/>
    <w:rsid w:val="00584CE6"/>
    <w:rsid w:val="00591C85"/>
    <w:rsid w:val="0065068A"/>
    <w:rsid w:val="006708FF"/>
    <w:rsid w:val="00677AFB"/>
    <w:rsid w:val="00705DDB"/>
    <w:rsid w:val="007A6EBD"/>
    <w:rsid w:val="00820F74"/>
    <w:rsid w:val="00835A59"/>
    <w:rsid w:val="008905EB"/>
    <w:rsid w:val="009D1570"/>
    <w:rsid w:val="009D74FA"/>
    <w:rsid w:val="00AE534C"/>
    <w:rsid w:val="00BB2377"/>
    <w:rsid w:val="00D74995"/>
    <w:rsid w:val="00DB0416"/>
    <w:rsid w:val="00DF2BAD"/>
    <w:rsid w:val="00E24A5F"/>
    <w:rsid w:val="00E43A7C"/>
    <w:rsid w:val="00E74E02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78B92-1184-4B96-AD0A-C7F393C1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Dorrain, Kristine</dc:creator>
  <cp:lastModifiedBy>Kelsey T.</cp:lastModifiedBy>
  <cp:revision>2</cp:revision>
  <dcterms:created xsi:type="dcterms:W3CDTF">2022-06-10T20:42:00Z</dcterms:created>
  <dcterms:modified xsi:type="dcterms:W3CDTF">2022-06-10T20:42:00Z</dcterms:modified>
</cp:coreProperties>
</file>